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C511A">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吉林通化龙头抽水蓄能电站地震安全性评价服务</w:t>
      </w:r>
    </w:p>
    <w:p w14:paraId="7F360895">
      <w:pPr>
        <w:spacing w:line="360" w:lineRule="auto"/>
        <w:jc w:val="center"/>
        <w:rPr>
          <w:rFonts w:hint="eastAsia" w:ascii="仿宋" w:hAnsi="仿宋" w:eastAsia="仿宋" w:cs="仿宋"/>
          <w:b/>
          <w:bCs/>
          <w:sz w:val="36"/>
          <w:szCs w:val="36"/>
        </w:rPr>
      </w:pPr>
      <w:r>
        <w:rPr>
          <w:rFonts w:ascii="仿宋" w:hAnsi="仿宋" w:eastAsia="仿宋" w:cs="仿宋"/>
          <w:b/>
          <w:bCs/>
          <w:sz w:val="36"/>
          <w:szCs w:val="36"/>
        </w:rPr>
        <w:t>询比采购公告</w:t>
      </w:r>
    </w:p>
    <w:p w14:paraId="149F1DCF">
      <w:pPr>
        <w:spacing w:line="360" w:lineRule="auto"/>
        <w:jc w:val="center"/>
        <w:rPr>
          <w:rFonts w:hint="eastAsia" w:ascii="仿宋" w:hAnsi="仿宋" w:eastAsia="仿宋" w:cs="仿宋"/>
          <w:b/>
          <w:bCs/>
          <w:sz w:val="36"/>
          <w:szCs w:val="36"/>
        </w:rPr>
      </w:pPr>
    </w:p>
    <w:p w14:paraId="0BFC0B93">
      <w:pPr>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根据中水东北勘测设计研究有限责任公司《公司采购管理办法》（中水东勘办[2024]313号）有关规定，工程勘察院地质处拟对“</w:t>
      </w:r>
      <w:r>
        <w:rPr>
          <w:rFonts w:hint="eastAsia" w:ascii="仿宋" w:hAnsi="仿宋" w:eastAsia="仿宋" w:cs="仿宋"/>
          <w:sz w:val="24"/>
          <w:lang w:val="en-US" w:eastAsia="zh-CN"/>
        </w:rPr>
        <w:t>吉林通化龙头抽水蓄能电站地震安全性评价</w:t>
      </w:r>
      <w:r>
        <w:rPr>
          <w:rFonts w:hint="eastAsia" w:ascii="仿宋" w:hAnsi="仿宋" w:eastAsia="仿宋" w:cs="仿宋"/>
          <w:sz w:val="24"/>
        </w:rPr>
        <w:t>”服务进行询比采购，遴选一家工程勘察院入围的合格供应商进行</w:t>
      </w:r>
      <w:r>
        <w:rPr>
          <w:rFonts w:hint="eastAsia" w:ascii="仿宋" w:hAnsi="仿宋" w:eastAsia="仿宋" w:cs="仿宋"/>
          <w:sz w:val="24"/>
          <w:lang w:val="en-US" w:eastAsia="zh-CN"/>
        </w:rPr>
        <w:t>地震安全性评价</w:t>
      </w:r>
      <w:r>
        <w:rPr>
          <w:rFonts w:hint="eastAsia" w:ascii="仿宋" w:hAnsi="仿宋" w:eastAsia="仿宋" w:cs="仿宋"/>
          <w:sz w:val="24"/>
        </w:rPr>
        <w:t>工作。为确保采购过程公开、公平、公正，现公开征招工程勘察院入围的合格供应商进行询比采购。</w:t>
      </w:r>
    </w:p>
    <w:p w14:paraId="29106705">
      <w:pPr>
        <w:spacing w:line="360" w:lineRule="auto"/>
        <w:rPr>
          <w:rFonts w:hint="eastAsia" w:ascii="仿宋" w:hAnsi="仿宋" w:eastAsia="仿宋" w:cs="仿宋"/>
          <w:sz w:val="24"/>
        </w:rPr>
      </w:pPr>
      <w:r>
        <w:rPr>
          <w:rFonts w:hint="eastAsia" w:ascii="仿宋" w:hAnsi="仿宋" w:eastAsia="仿宋" w:cs="仿宋"/>
          <w:sz w:val="24"/>
        </w:rPr>
        <w:t>1、公告时间</w:t>
      </w:r>
    </w:p>
    <w:p w14:paraId="76ABD2B1">
      <w:pPr>
        <w:spacing w:line="360" w:lineRule="auto"/>
        <w:ind w:firstLine="480" w:firstLineChars="200"/>
        <w:rPr>
          <w:rFonts w:hint="eastAsia" w:ascii="仿宋" w:hAnsi="仿宋" w:eastAsia="仿宋" w:cs="仿宋"/>
          <w:sz w:val="24"/>
        </w:rPr>
      </w:pPr>
      <w:r>
        <w:rPr>
          <w:rFonts w:hint="eastAsia" w:ascii="仿宋" w:hAnsi="仿宋" w:eastAsia="仿宋" w:cs="仿宋"/>
          <w:sz w:val="24"/>
        </w:rPr>
        <w:t>2025年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日至</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14:paraId="240F315B">
      <w:pPr>
        <w:spacing w:line="360" w:lineRule="auto"/>
        <w:rPr>
          <w:rFonts w:hint="eastAsia" w:ascii="仿宋" w:hAnsi="仿宋" w:eastAsia="仿宋" w:cs="仿宋"/>
          <w:sz w:val="24"/>
        </w:rPr>
      </w:pPr>
      <w:r>
        <w:rPr>
          <w:rFonts w:hint="eastAsia" w:ascii="仿宋" w:hAnsi="仿宋" w:eastAsia="仿宋" w:cs="仿宋"/>
          <w:sz w:val="24"/>
        </w:rPr>
        <w:t>2、采购内容</w:t>
      </w:r>
    </w:p>
    <w:p w14:paraId="0C4FE8BF">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根据《工程场地地震安全性评价》(GB17741-20</w:t>
      </w:r>
      <w:r>
        <w:rPr>
          <w:rFonts w:hint="eastAsia" w:ascii="仿宋" w:hAnsi="仿宋" w:eastAsia="仿宋" w:cs="仿宋"/>
          <w:sz w:val="24"/>
          <w:lang w:val="en-US" w:eastAsia="zh-CN"/>
        </w:rPr>
        <w:t>2</w:t>
      </w:r>
      <w:r>
        <w:rPr>
          <w:rFonts w:hint="eastAsia" w:ascii="仿宋" w:hAnsi="仿宋" w:eastAsia="仿宋" w:cs="仿宋"/>
          <w:sz w:val="24"/>
        </w:rPr>
        <w:t>5)的技术要求，按照工程场地地震安全性评价Ⅱ级工作</w:t>
      </w:r>
      <w:r>
        <w:rPr>
          <w:rFonts w:hint="eastAsia" w:ascii="仿宋" w:hAnsi="仿宋" w:eastAsia="仿宋" w:cs="仿宋"/>
          <w:sz w:val="24"/>
          <w:lang w:eastAsia="zh-CN"/>
        </w:rPr>
        <w:t>，</w:t>
      </w:r>
      <w:r>
        <w:rPr>
          <w:rFonts w:hint="eastAsia" w:ascii="仿宋" w:hAnsi="仿宋" w:eastAsia="仿宋" w:cs="仿宋"/>
          <w:sz w:val="24"/>
        </w:rPr>
        <w:t>完成</w:t>
      </w:r>
      <w:r>
        <w:rPr>
          <w:rFonts w:hint="eastAsia" w:ascii="仿宋" w:hAnsi="仿宋" w:eastAsia="仿宋" w:cs="仿宋"/>
          <w:sz w:val="24"/>
          <w:lang w:val="en-US" w:eastAsia="zh-CN"/>
        </w:rPr>
        <w:t>吉林省通化</w:t>
      </w:r>
      <w:r>
        <w:rPr>
          <w:rFonts w:hint="eastAsia" w:ascii="仿宋" w:hAnsi="仿宋" w:eastAsia="仿宋" w:cs="仿宋"/>
          <w:sz w:val="24"/>
        </w:rPr>
        <w:t>抽水蓄能电站工程场地地震安全性评价</w:t>
      </w:r>
      <w:r>
        <w:rPr>
          <w:rFonts w:hint="eastAsia" w:ascii="仿宋" w:hAnsi="仿宋" w:eastAsia="仿宋" w:cs="仿宋"/>
          <w:sz w:val="24"/>
          <w:lang w:eastAsia="zh-CN"/>
        </w:rPr>
        <w:t>，</w:t>
      </w:r>
      <w:r>
        <w:rPr>
          <w:rFonts w:hint="eastAsia" w:ascii="仿宋" w:hAnsi="仿宋" w:eastAsia="仿宋" w:cs="仿宋"/>
          <w:sz w:val="24"/>
        </w:rPr>
        <w:t>服务地点位于吉林省</w:t>
      </w:r>
      <w:r>
        <w:rPr>
          <w:rFonts w:hint="eastAsia" w:ascii="仿宋" w:hAnsi="仿宋" w:eastAsia="仿宋" w:cs="仿宋"/>
          <w:sz w:val="24"/>
          <w:lang w:val="en-US" w:eastAsia="zh-CN"/>
        </w:rPr>
        <w:t>通化市金厂镇</w:t>
      </w:r>
      <w:r>
        <w:rPr>
          <w:rFonts w:hint="eastAsia" w:ascii="仿宋" w:hAnsi="仿宋" w:eastAsia="仿宋" w:cs="仿宋"/>
          <w:sz w:val="24"/>
        </w:rPr>
        <w:t>。</w:t>
      </w:r>
    </w:p>
    <w:p w14:paraId="219E9363">
      <w:pPr>
        <w:spacing w:line="360" w:lineRule="auto"/>
        <w:rPr>
          <w:rFonts w:hint="eastAsia" w:ascii="仿宋" w:hAnsi="仿宋" w:eastAsia="仿宋" w:cs="仿宋"/>
          <w:sz w:val="24"/>
        </w:rPr>
      </w:pPr>
      <w:r>
        <w:rPr>
          <w:rFonts w:hint="eastAsia" w:ascii="仿宋" w:hAnsi="仿宋" w:eastAsia="仿宋" w:cs="仿宋"/>
          <w:sz w:val="24"/>
        </w:rPr>
        <w:t>3、报名方式</w:t>
      </w:r>
    </w:p>
    <w:p w14:paraId="6DBED21C">
      <w:pPr>
        <w:spacing w:line="360" w:lineRule="auto"/>
        <w:ind w:firstLine="480" w:firstLineChars="200"/>
        <w:rPr>
          <w:rFonts w:hint="eastAsia" w:ascii="仿宋" w:hAnsi="仿宋" w:eastAsia="仿宋" w:cs="仿宋"/>
          <w:sz w:val="24"/>
        </w:rPr>
      </w:pPr>
      <w:r>
        <w:rPr>
          <w:rFonts w:ascii="仿宋" w:hAnsi="仿宋" w:eastAsia="仿宋" w:cs="仿宋"/>
          <w:sz w:val="24"/>
        </w:rPr>
        <w:t>报名方式：通过电子邮件发送报价单和相关材料扫描件，逾期送达的不予受理。</w:t>
      </w:r>
    </w:p>
    <w:p w14:paraId="4C8F7BD9">
      <w:pPr>
        <w:spacing w:line="360" w:lineRule="auto"/>
        <w:ind w:firstLine="480" w:firstLineChars="200"/>
        <w:rPr>
          <w:rFonts w:hint="eastAsia" w:ascii="仿宋" w:hAnsi="仿宋" w:eastAsia="仿宋" w:cs="仿宋"/>
          <w:sz w:val="24"/>
        </w:rPr>
      </w:pPr>
      <w:r>
        <w:rPr>
          <w:rFonts w:ascii="仿宋" w:hAnsi="仿宋" w:eastAsia="仿宋" w:cs="仿宋"/>
          <w:sz w:val="24"/>
        </w:rPr>
        <w:t>接收邮箱：</w:t>
      </w:r>
      <w:r>
        <w:fldChar w:fldCharType="begin"/>
      </w:r>
      <w:r>
        <w:instrText xml:space="preserve"> HYPERLINK "mailto:521088453@qq.com" </w:instrText>
      </w:r>
      <w:r>
        <w:fldChar w:fldCharType="separate"/>
      </w:r>
      <w:r>
        <w:rPr>
          <w:rFonts w:hint="eastAsia" w:ascii="仿宋" w:hAnsi="仿宋" w:eastAsia="仿宋" w:cs="仿宋"/>
          <w:sz w:val="24"/>
          <w:lang w:val="en-US" w:eastAsia="zh-CN"/>
        </w:rPr>
        <w:t>394066101</w:t>
      </w:r>
      <w:r>
        <w:rPr>
          <w:rFonts w:ascii="仿宋" w:hAnsi="仿宋" w:eastAsia="仿宋" w:cs="仿宋"/>
          <w:sz w:val="24"/>
        </w:rPr>
        <w:t>@qq.com</w:t>
      </w:r>
      <w:r>
        <w:rPr>
          <w:rFonts w:ascii="仿宋" w:hAnsi="仿宋" w:eastAsia="仿宋" w:cs="仿宋"/>
          <w:sz w:val="24"/>
        </w:rPr>
        <w:fldChar w:fldCharType="end"/>
      </w:r>
    </w:p>
    <w:p w14:paraId="378F2174">
      <w:pPr>
        <w:spacing w:line="360" w:lineRule="auto"/>
        <w:ind w:firstLine="480" w:firstLineChars="200"/>
        <w:rPr>
          <w:rFonts w:hint="eastAsia" w:ascii="仿宋" w:hAnsi="仿宋" w:eastAsia="仿宋" w:cs="仿宋"/>
          <w:sz w:val="24"/>
        </w:rPr>
      </w:pPr>
      <w:r>
        <w:rPr>
          <w:rFonts w:ascii="仿宋" w:hAnsi="仿宋" w:eastAsia="仿宋" w:cs="仿宋"/>
          <w:sz w:val="24"/>
        </w:rPr>
        <w:t>截止时间：2025年</w:t>
      </w:r>
      <w:r>
        <w:rPr>
          <w:rFonts w:hint="eastAsia" w:ascii="仿宋" w:hAnsi="仿宋" w:eastAsia="仿宋" w:cs="仿宋"/>
          <w:sz w:val="24"/>
          <w:lang w:val="en-US" w:eastAsia="zh-CN"/>
        </w:rPr>
        <w:t xml:space="preserve">  </w:t>
      </w:r>
      <w:r>
        <w:rPr>
          <w:rFonts w:ascii="仿宋" w:hAnsi="仿宋" w:eastAsia="仿宋" w:cs="仿宋"/>
          <w:sz w:val="24"/>
        </w:rPr>
        <w:t>月</w:t>
      </w:r>
      <w:r>
        <w:rPr>
          <w:rFonts w:hint="eastAsia" w:ascii="仿宋" w:hAnsi="仿宋" w:eastAsia="仿宋" w:cs="仿宋"/>
          <w:sz w:val="24"/>
          <w:lang w:val="en-US" w:eastAsia="zh-CN"/>
        </w:rPr>
        <w:t xml:space="preserve">  </w:t>
      </w:r>
      <w:r>
        <w:rPr>
          <w:rFonts w:ascii="仿宋" w:hAnsi="仿宋" w:eastAsia="仿宋" w:cs="仿宋"/>
          <w:sz w:val="24"/>
        </w:rPr>
        <w:t>日9:00整</w:t>
      </w:r>
    </w:p>
    <w:p w14:paraId="1630C45B">
      <w:pPr>
        <w:spacing w:line="360" w:lineRule="auto"/>
        <w:rPr>
          <w:rFonts w:hint="eastAsia" w:ascii="仿宋" w:hAnsi="仿宋" w:eastAsia="仿宋" w:cs="仿宋"/>
          <w:sz w:val="24"/>
        </w:rPr>
      </w:pPr>
      <w:r>
        <w:rPr>
          <w:rFonts w:hint="eastAsia" w:ascii="仿宋" w:hAnsi="仿宋" w:eastAsia="仿宋" w:cs="仿宋"/>
          <w:sz w:val="24"/>
        </w:rPr>
        <w:t>4、报名所需资料</w:t>
      </w:r>
    </w:p>
    <w:p w14:paraId="67E99253">
      <w:pPr>
        <w:spacing w:line="360" w:lineRule="auto"/>
        <w:ind w:firstLine="480" w:firstLineChars="200"/>
        <w:rPr>
          <w:rFonts w:hint="eastAsia" w:ascii="仿宋" w:hAnsi="仿宋" w:eastAsia="仿宋" w:cs="仿宋"/>
          <w:sz w:val="24"/>
        </w:rPr>
      </w:pPr>
      <w:r>
        <w:rPr>
          <w:rFonts w:hint="eastAsia" w:ascii="仿宋" w:hAnsi="仿宋" w:eastAsia="仿宋" w:cs="仿宋"/>
          <w:sz w:val="24"/>
        </w:rPr>
        <w:t>（1）报名单位的营业执照复印件</w:t>
      </w:r>
      <w:r>
        <w:rPr>
          <w:rFonts w:hint="eastAsia" w:ascii="仿宋" w:hAnsi="仿宋" w:eastAsia="仿宋" w:cs="仿宋"/>
          <w:sz w:val="24"/>
          <w:lang w:val="en-US" w:eastAsia="zh-CN"/>
        </w:rPr>
        <w:t>或法人证书</w:t>
      </w:r>
      <w:r>
        <w:rPr>
          <w:rFonts w:hint="eastAsia" w:ascii="仿宋" w:hAnsi="仿宋" w:eastAsia="仿宋" w:cs="仿宋"/>
          <w:sz w:val="24"/>
        </w:rPr>
        <w:t>。</w:t>
      </w:r>
      <w:bookmarkStart w:id="0" w:name="_GoBack"/>
      <w:bookmarkEnd w:id="0"/>
    </w:p>
    <w:p w14:paraId="069F6DFF">
      <w:pPr>
        <w:spacing w:line="360" w:lineRule="auto"/>
        <w:ind w:firstLine="480" w:firstLineChars="200"/>
        <w:rPr>
          <w:rFonts w:hint="eastAsia" w:ascii="仿宋" w:hAnsi="仿宋" w:eastAsia="仿宋" w:cs="仿宋"/>
          <w:sz w:val="24"/>
        </w:rPr>
      </w:pPr>
      <w:r>
        <w:rPr>
          <w:rFonts w:hint="eastAsia" w:ascii="仿宋" w:hAnsi="仿宋" w:eastAsia="仿宋" w:cs="仿宋"/>
          <w:sz w:val="24"/>
        </w:rPr>
        <w:t>（2）报名单位的报价表（加盖公章）。</w:t>
      </w:r>
    </w:p>
    <w:p w14:paraId="5654A4BC">
      <w:pPr>
        <w:spacing w:line="360" w:lineRule="auto"/>
        <w:rPr>
          <w:rFonts w:hint="eastAsia" w:ascii="仿宋" w:hAnsi="仿宋" w:eastAsia="仿宋" w:cs="仿宋"/>
          <w:sz w:val="24"/>
        </w:rPr>
      </w:pPr>
      <w:r>
        <w:rPr>
          <w:rFonts w:hint="eastAsia" w:ascii="仿宋" w:hAnsi="仿宋" w:eastAsia="仿宋" w:cs="仿宋"/>
          <w:sz w:val="24"/>
        </w:rPr>
        <w:t>5、评审方式及合同签订</w:t>
      </w:r>
    </w:p>
    <w:p w14:paraId="08409665">
      <w:pPr>
        <w:spacing w:line="360" w:lineRule="auto"/>
        <w:ind w:firstLine="480" w:firstLineChars="200"/>
        <w:rPr>
          <w:rFonts w:hint="eastAsia" w:ascii="仿宋" w:hAnsi="仿宋" w:eastAsia="仿宋" w:cs="仿宋"/>
          <w:sz w:val="24"/>
        </w:rPr>
      </w:pPr>
      <w:r>
        <w:rPr>
          <w:rFonts w:hint="eastAsia" w:ascii="仿宋" w:hAnsi="仿宋" w:eastAsia="仿宋" w:cs="仿宋"/>
          <w:sz w:val="24"/>
        </w:rPr>
        <w:t>中水东北勘测设计研究有限责任公司工程勘察院地质处成立评审小组，由评审小组审核确定供方后签订合同，签订合同后开展</w:t>
      </w:r>
      <w:r>
        <w:rPr>
          <w:rFonts w:hint="eastAsia" w:ascii="仿宋" w:hAnsi="仿宋" w:eastAsia="仿宋" w:cs="仿宋"/>
          <w:sz w:val="24"/>
          <w:lang w:val="en-US" w:eastAsia="zh-CN"/>
        </w:rPr>
        <w:t>地震安全性评价</w:t>
      </w:r>
      <w:r>
        <w:rPr>
          <w:rFonts w:hint="eastAsia" w:ascii="仿宋" w:hAnsi="仿宋" w:eastAsia="仿宋" w:cs="仿宋"/>
          <w:sz w:val="24"/>
        </w:rPr>
        <w:t>服务工作。</w:t>
      </w:r>
    </w:p>
    <w:p w14:paraId="0BB305ED">
      <w:pPr>
        <w:spacing w:line="360" w:lineRule="auto"/>
        <w:rPr>
          <w:rFonts w:hint="eastAsia" w:ascii="仿宋" w:hAnsi="仿宋" w:eastAsia="仿宋" w:cs="仿宋"/>
          <w:sz w:val="24"/>
        </w:rPr>
      </w:pPr>
      <w:r>
        <w:rPr>
          <w:rFonts w:hint="eastAsia" w:ascii="仿宋" w:hAnsi="仿宋" w:eastAsia="仿宋" w:cs="仿宋"/>
          <w:sz w:val="24"/>
        </w:rPr>
        <w:t>6、联系方式</w:t>
      </w:r>
    </w:p>
    <w:p w14:paraId="6DF7001B">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赵海阔</w:t>
      </w:r>
      <w:r>
        <w:rPr>
          <w:rFonts w:hint="eastAsia" w:ascii="仿宋" w:hAnsi="仿宋" w:eastAsia="仿宋" w:cs="仿宋"/>
          <w:sz w:val="24"/>
        </w:rPr>
        <w:t>，联系电话：15</w:t>
      </w:r>
      <w:r>
        <w:rPr>
          <w:rFonts w:hint="eastAsia" w:ascii="仿宋" w:hAnsi="仿宋" w:eastAsia="仿宋" w:cs="仿宋"/>
          <w:sz w:val="24"/>
          <w:lang w:val="en-US" w:eastAsia="zh-CN"/>
        </w:rPr>
        <w:t>044127047</w:t>
      </w:r>
    </w:p>
    <w:p w14:paraId="37CBEFB0">
      <w:pPr>
        <w:spacing w:line="360" w:lineRule="auto"/>
        <w:rPr>
          <w:rFonts w:hint="eastAsia" w:ascii="仿宋" w:hAnsi="仿宋" w:eastAsia="仿宋" w:cs="仿宋"/>
          <w:sz w:val="24"/>
        </w:rPr>
      </w:pPr>
    </w:p>
    <w:p w14:paraId="25B711B9">
      <w:pPr>
        <w:spacing w:line="360" w:lineRule="auto"/>
        <w:rPr>
          <w:rFonts w:hint="eastAsia" w:ascii="仿宋" w:hAnsi="仿宋" w:eastAsia="仿宋" w:cs="仿宋"/>
          <w:sz w:val="24"/>
        </w:rPr>
      </w:pPr>
    </w:p>
    <w:p w14:paraId="3E0D200F">
      <w:pPr>
        <w:spacing w:line="360" w:lineRule="auto"/>
        <w:jc w:val="right"/>
        <w:rPr>
          <w:rFonts w:hint="eastAsia" w:ascii="仿宋" w:hAnsi="仿宋" w:eastAsia="仿宋" w:cs="仿宋"/>
          <w:sz w:val="24"/>
        </w:rPr>
      </w:pPr>
      <w:r>
        <w:rPr>
          <w:rFonts w:hint="eastAsia" w:ascii="仿宋" w:hAnsi="仿宋" w:eastAsia="仿宋" w:cs="仿宋"/>
          <w:sz w:val="24"/>
        </w:rPr>
        <w:t>中水东北勘测设计研究有限责任公司</w:t>
      </w:r>
    </w:p>
    <w:p w14:paraId="709CCCE7">
      <w:pPr>
        <w:spacing w:line="360" w:lineRule="auto"/>
        <w:jc w:val="right"/>
        <w:rPr>
          <w:rFonts w:hint="eastAsia" w:ascii="仿宋" w:hAnsi="仿宋" w:eastAsia="仿宋" w:cs="仿宋"/>
          <w:sz w:val="24"/>
        </w:rPr>
      </w:pPr>
      <w:r>
        <w:rPr>
          <w:rFonts w:hint="eastAsia" w:ascii="仿宋" w:hAnsi="仿宋" w:eastAsia="仿宋" w:cs="仿宋"/>
          <w:sz w:val="24"/>
        </w:rPr>
        <w:t>2025年0</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8</w:t>
      </w:r>
      <w:r>
        <w:rPr>
          <w:rFonts w:hint="eastAsia" w:ascii="仿宋" w:hAnsi="仿宋" w:eastAsia="仿宋" w:cs="仿宋"/>
          <w:sz w:val="24"/>
        </w:rPr>
        <w:t>日</w:t>
      </w:r>
    </w:p>
    <w:p w14:paraId="632DC5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9B"/>
    <w:rsid w:val="00144B63"/>
    <w:rsid w:val="00192740"/>
    <w:rsid w:val="002E3826"/>
    <w:rsid w:val="002F6942"/>
    <w:rsid w:val="0036220C"/>
    <w:rsid w:val="003C22FE"/>
    <w:rsid w:val="00494D1E"/>
    <w:rsid w:val="0067026E"/>
    <w:rsid w:val="007077A5"/>
    <w:rsid w:val="00815930"/>
    <w:rsid w:val="008223AB"/>
    <w:rsid w:val="008721B4"/>
    <w:rsid w:val="008F56D7"/>
    <w:rsid w:val="009E1464"/>
    <w:rsid w:val="00A34CAB"/>
    <w:rsid w:val="00A76962"/>
    <w:rsid w:val="00AB62C5"/>
    <w:rsid w:val="00B008A5"/>
    <w:rsid w:val="00B13326"/>
    <w:rsid w:val="00B449D9"/>
    <w:rsid w:val="00B50AFB"/>
    <w:rsid w:val="00CE4EE1"/>
    <w:rsid w:val="00CE5221"/>
    <w:rsid w:val="00D07DB9"/>
    <w:rsid w:val="00D3739B"/>
    <w:rsid w:val="00D54FC3"/>
    <w:rsid w:val="00E86139"/>
    <w:rsid w:val="00EB419A"/>
    <w:rsid w:val="00ED654B"/>
    <w:rsid w:val="00FC020F"/>
    <w:rsid w:val="00FC69F3"/>
    <w:rsid w:val="371601C3"/>
    <w:rsid w:val="44FC5ED8"/>
    <w:rsid w:val="4ECF4B4E"/>
    <w:rsid w:val="6D177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auto"/>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 w:val="18"/>
      <w:szCs w:val="18"/>
      <w14:ligatures w14:val="standardContextual"/>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18"/>
      <w:szCs w:val="18"/>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sz w:val="18"/>
      <w:szCs w:val="18"/>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sz w:val="18"/>
      <w:szCs w:val="18"/>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asciiTheme="minorHAnsi" w:hAnsiTheme="minorHAnsi" w:eastAsiaTheme="minorEastAsia" w:cstheme="majorBidi"/>
      <w:color w:val="2F5597" w:themeColor="accent1" w:themeShade="BF"/>
      <w:sz w:val="28"/>
      <w:szCs w:val="28"/>
    </w:rPr>
  </w:style>
  <w:style w:type="character" w:customStyle="1" w:styleId="22">
    <w:name w:val="标题 5 字符"/>
    <w:basedOn w:val="16"/>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3">
    <w:name w:val="标题 6 字符"/>
    <w:basedOn w:val="16"/>
    <w:link w:val="7"/>
    <w:semiHidden/>
    <w:qFormat/>
    <w:uiPriority w:val="9"/>
    <w:rPr>
      <w:rFonts w:asciiTheme="minorHAnsi" w:hAnsiTheme="minorHAnsi" w:eastAsiaTheme="minorEastAsia" w:cstheme="majorBidi"/>
      <w:b/>
      <w:bCs/>
      <w:color w:val="2F5597" w:themeColor="accent1" w:themeShade="BF"/>
    </w:rPr>
  </w:style>
  <w:style w:type="character" w:customStyle="1" w:styleId="24">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color w:val="auto"/>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imes New Roman" w:hAnsi="Times New Roman" w:cs="宋体"/>
      <w:i/>
      <w:iCs/>
      <w:color w:val="404040" w:themeColor="text1" w:themeTint="BF"/>
      <w:sz w:val="18"/>
      <w:szCs w:val="18"/>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imes New Roman" w:hAnsi="Times New Roman" w:cs="宋体"/>
      <w:color w:val="000000"/>
      <w:sz w:val="18"/>
      <w:szCs w:val="18"/>
      <w14:ligatures w14:val="standardContextual"/>
    </w:r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imes New Roman" w:hAnsi="Times New Roman" w:cs="宋体"/>
      <w:i/>
      <w:iCs/>
      <w:color w:val="2F5597" w:themeColor="accent1" w:themeShade="BF"/>
      <w:sz w:val="18"/>
      <w:szCs w:val="18"/>
      <w14:ligatures w14:val="standardContextual"/>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页眉 字符"/>
    <w:basedOn w:val="16"/>
    <w:link w:val="12"/>
    <w:qFormat/>
    <w:uiPriority w:val="99"/>
    <w:rPr>
      <w:rFonts w:ascii="Calibri" w:hAnsi="Calibri" w:cs="Times New Roman"/>
      <w:color w:val="auto"/>
      <w14:ligatures w14:val="none"/>
    </w:rPr>
  </w:style>
  <w:style w:type="character" w:customStyle="1" w:styleId="37">
    <w:name w:val="页脚 字符"/>
    <w:basedOn w:val="16"/>
    <w:link w:val="11"/>
    <w:qFormat/>
    <w:uiPriority w:val="99"/>
    <w:rPr>
      <w:rFonts w:ascii="Calibri" w:hAnsi="Calibri" w:cs="Times New Roman"/>
      <w:color w:val="auto"/>
      <w14:ligatures w14:val="none"/>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495</Words>
  <Characters>554</Characters>
  <Lines>4</Lines>
  <Paragraphs>1</Paragraphs>
  <TotalTime>1</TotalTime>
  <ScaleCrop>false</ScaleCrop>
  <LinksUpToDate>false</LinksUpToDate>
  <CharactersWithSpaces>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2025-04-25T00:32:00Z</dcterms:created>
  <dc:creator>瓜瓜 邦邦</dc:creator>
  <cp:lastModifiedBy>海阔</cp:lastModifiedBy>
  <dcterms:modified xsi:type="dcterms:W3CDTF">2025-09-12T02:16:57Z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eyJoZGlkIjoiNTI2MGE2MTAwMTY3MWExNWUzNzZhZDQ2OWQyZTUyZTAiLCJ1c2VySWQiOiIzNzY2MzIxODAifQ==</vt:lpwstr>
  </property>
  <property fmtid="{D5CDD505-2E9C-101B-9397-08002B2CF9AE}" pid="3" name="KSOProductBuildVer">
    <vt:lpwstr>2052-12.1.0.22529</vt:lpwstr>
  </property>
  <property fmtid="{D5CDD505-2E9C-101B-9397-08002B2CF9AE}" pid="4" name="ICV">
    <vt:lpwstr>14B7A56E8C204BD98FAAA86BF77D1D84_12</vt:lpwstr>
  </property>
</Properties>
</file>